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220256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220256">
        <w:rPr>
          <w:noProof w:val="0"/>
          <w:sz w:val="24"/>
          <w:szCs w:val="24"/>
        </w:rPr>
        <w:t>WG2 Meeting #</w:t>
      </w:r>
      <w:r w:rsidR="009B07CD" w:rsidRPr="00220256">
        <w:rPr>
          <w:noProof w:val="0"/>
          <w:sz w:val="24"/>
          <w:szCs w:val="24"/>
        </w:rPr>
        <w:t>9</w:t>
      </w:r>
      <w:r w:rsidR="009A0AF3" w:rsidRPr="00220256">
        <w:rPr>
          <w:noProof w:val="0"/>
          <w:sz w:val="24"/>
          <w:szCs w:val="24"/>
        </w:rPr>
        <w:t>6</w:t>
      </w:r>
      <w:r w:rsidRPr="00220256">
        <w:rPr>
          <w:bCs/>
          <w:noProof w:val="0"/>
          <w:sz w:val="24"/>
          <w:szCs w:val="24"/>
        </w:rPr>
        <w:tab/>
      </w:r>
      <w:r w:rsidRPr="00220256">
        <w:rPr>
          <w:rFonts w:hint="eastAsia"/>
          <w:bCs/>
          <w:noProof w:val="0"/>
          <w:sz w:val="24"/>
          <w:szCs w:val="24"/>
        </w:rPr>
        <w:t>R</w:t>
      </w:r>
      <w:r w:rsidRPr="00220256">
        <w:rPr>
          <w:bCs/>
          <w:noProof w:val="0"/>
          <w:sz w:val="24"/>
          <w:szCs w:val="24"/>
        </w:rPr>
        <w:t>2</w:t>
      </w:r>
      <w:r w:rsidRPr="00220256">
        <w:rPr>
          <w:rFonts w:hint="eastAsia"/>
          <w:bCs/>
          <w:noProof w:val="0"/>
          <w:sz w:val="24"/>
          <w:szCs w:val="24"/>
        </w:rPr>
        <w:t>-</w:t>
      </w:r>
      <w:r w:rsidRPr="00220256">
        <w:rPr>
          <w:bCs/>
          <w:noProof w:val="0"/>
          <w:sz w:val="24"/>
          <w:szCs w:val="24"/>
        </w:rPr>
        <w:t>1</w:t>
      </w:r>
      <w:r w:rsidR="009B07CD" w:rsidRPr="00220256">
        <w:rPr>
          <w:bCs/>
          <w:noProof w:val="0"/>
          <w:sz w:val="24"/>
          <w:szCs w:val="24"/>
        </w:rPr>
        <w:t>6</w:t>
      </w:r>
      <w:r w:rsidR="00220256" w:rsidRPr="00220256">
        <w:rPr>
          <w:bCs/>
          <w:noProof w:val="0"/>
          <w:sz w:val="24"/>
          <w:szCs w:val="24"/>
        </w:rPr>
        <w:t>7710</w:t>
      </w:r>
    </w:p>
    <w:p w:rsidR="00CD4C7B" w:rsidRPr="00220256" w:rsidRDefault="009A0AF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20256"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220256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220256"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220256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220256">
        <w:rPr>
          <w:rFonts w:eastAsia="SimSun"/>
          <w:noProof w:val="0"/>
          <w:sz w:val="24"/>
          <w:szCs w:val="24"/>
          <w:lang w:eastAsia="zh-CN"/>
        </w:rPr>
        <w:t>14</w:t>
      </w:r>
      <w:r w:rsidR="00C24650" w:rsidRPr="00220256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Pr="00220256">
        <w:rPr>
          <w:rFonts w:eastAsia="SimSun"/>
          <w:noProof w:val="0"/>
          <w:sz w:val="24"/>
          <w:szCs w:val="24"/>
          <w:lang w:eastAsia="zh-CN"/>
        </w:rPr>
        <w:t>18</w:t>
      </w:r>
      <w:r w:rsidR="00C24650" w:rsidRPr="00220256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220256">
        <w:rPr>
          <w:rFonts w:eastAsia="SimSun"/>
          <w:noProof w:val="0"/>
          <w:sz w:val="24"/>
          <w:szCs w:val="24"/>
          <w:lang w:eastAsia="zh-CN"/>
        </w:rPr>
        <w:t>November</w:t>
      </w:r>
      <w:r w:rsidR="00C24650" w:rsidRPr="00220256">
        <w:rPr>
          <w:rFonts w:eastAsia="SimSun"/>
          <w:noProof w:val="0"/>
          <w:sz w:val="24"/>
          <w:szCs w:val="24"/>
          <w:lang w:eastAsia="zh-CN"/>
        </w:rPr>
        <w:t xml:space="preserve"> 2016</w:t>
      </w:r>
    </w:p>
    <w:p w:rsidR="00CD4C7B" w:rsidRPr="00220256" w:rsidRDefault="00CD4C7B" w:rsidP="00CD4C7B">
      <w:pPr>
        <w:pStyle w:val="Header"/>
        <w:rPr>
          <w:bCs/>
          <w:noProof w:val="0"/>
          <w:sz w:val="24"/>
        </w:rPr>
      </w:pPr>
    </w:p>
    <w:p w:rsidR="00CD4C7B" w:rsidRPr="00220256" w:rsidRDefault="00CD4C7B" w:rsidP="00CD4C7B">
      <w:pPr>
        <w:pStyle w:val="Header"/>
        <w:rPr>
          <w:bCs/>
          <w:noProof w:val="0"/>
          <w:sz w:val="24"/>
        </w:rPr>
      </w:pPr>
    </w:p>
    <w:p w:rsidR="00CD4C7B" w:rsidRPr="0022025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20256">
        <w:rPr>
          <w:rFonts w:cs="Arial"/>
          <w:b/>
          <w:bCs/>
          <w:sz w:val="24"/>
        </w:rPr>
        <w:t>Agenda item:</w:t>
      </w:r>
      <w:r w:rsidRPr="00220256">
        <w:rPr>
          <w:rFonts w:cs="Arial"/>
          <w:b/>
          <w:bCs/>
          <w:sz w:val="24"/>
        </w:rPr>
        <w:tab/>
      </w:r>
      <w:r w:rsidR="008E5B18" w:rsidRPr="00220256">
        <w:rPr>
          <w:rFonts w:cs="Arial"/>
          <w:b/>
          <w:bCs/>
          <w:sz w:val="24"/>
          <w:lang w:eastAsia="ja-JP"/>
        </w:rPr>
        <w:t>9.2.2.1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0256">
        <w:rPr>
          <w:rFonts w:ascii="Arial" w:hAnsi="Arial" w:cs="Arial"/>
          <w:b/>
          <w:bCs/>
          <w:sz w:val="24"/>
        </w:rPr>
        <w:t>Source:</w:t>
      </w:r>
      <w:r w:rsidRPr="00220256">
        <w:rPr>
          <w:rFonts w:ascii="Arial" w:hAnsi="Arial" w:cs="Arial"/>
          <w:b/>
          <w:bCs/>
          <w:sz w:val="24"/>
        </w:rPr>
        <w:tab/>
      </w:r>
      <w:r w:rsidR="001741A0" w:rsidRPr="00220256">
        <w:rPr>
          <w:rFonts w:ascii="Arial" w:hAnsi="Arial" w:cs="Arial"/>
          <w:b/>
          <w:bCs/>
          <w:sz w:val="24"/>
        </w:rPr>
        <w:t>Nokia</w:t>
      </w:r>
      <w:r w:rsidR="00090468" w:rsidRPr="00220256">
        <w:rPr>
          <w:rFonts w:ascii="Arial" w:hAnsi="Arial" w:cs="Arial"/>
          <w:b/>
          <w:bCs/>
          <w:sz w:val="24"/>
        </w:rPr>
        <w:t>, Alcatel</w:t>
      </w:r>
      <w:r w:rsidR="00090468">
        <w:rPr>
          <w:rFonts w:ascii="Arial" w:hAnsi="Arial" w:cs="Arial"/>
          <w:b/>
          <w:bCs/>
          <w:sz w:val="24"/>
        </w:rPr>
        <w:t>-Lucent Shanghai Bell</w:t>
      </w:r>
    </w:p>
    <w:p w:rsidR="006165A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165AE">
        <w:rPr>
          <w:rFonts w:ascii="Arial" w:hAnsi="Arial" w:cs="Arial"/>
          <w:b/>
          <w:bCs/>
          <w:sz w:val="24"/>
        </w:rPr>
        <w:t>RRC_INACTIVE: Some UP considerations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165AE" w:rsidRPr="00417407">
        <w:rPr>
          <w:rFonts w:ascii="Arial" w:hAnsi="Arial" w:cs="Arial"/>
          <w:b/>
          <w:bCs/>
          <w:sz w:val="24"/>
        </w:rPr>
        <w:t>FS_NR_newRAT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D33604" w:rsidP="00CD4C7B">
      <w:r w:rsidRPr="00D33604">
        <w:t xml:space="preserve">In the scope of NR, </w:t>
      </w:r>
      <w:r w:rsidR="00825325" w:rsidRPr="00D33604">
        <w:t>RRC_</w:t>
      </w:r>
      <w:r w:rsidRPr="00D33604">
        <w:t xml:space="preserve">INACTIVE state is being studied in RAN2. Some basic </w:t>
      </w:r>
      <w:r w:rsidR="001873C7" w:rsidRPr="00D33604">
        <w:t>characteristics</w:t>
      </w:r>
      <w:r w:rsidR="00DA0C21">
        <w:t xml:space="preserve"> have</w:t>
      </w:r>
      <w:r w:rsidRPr="00D33604">
        <w:t xml:space="preserve"> been agreed</w:t>
      </w:r>
      <w:r w:rsidR="001873C7">
        <w:t xml:space="preserve"> during RAN2#95bis meeting </w:t>
      </w:r>
      <w:r w:rsidR="001873C7">
        <w:fldChar w:fldCharType="begin"/>
      </w:r>
      <w:r w:rsidR="001873C7">
        <w:instrText xml:space="preserve"> REF _Ref465433207 \r \h </w:instrText>
      </w:r>
      <w:r w:rsidR="001873C7">
        <w:fldChar w:fldCharType="separate"/>
      </w:r>
      <w:r w:rsidR="001873C7">
        <w:t>[1]</w:t>
      </w:r>
      <w:r w:rsidR="001873C7">
        <w:fldChar w:fldCharType="end"/>
      </w:r>
      <w:r>
        <w:t>.</w:t>
      </w:r>
    </w:p>
    <w:p w:rsidR="00D33604" w:rsidRPr="00D33604" w:rsidRDefault="00D33604" w:rsidP="00CD4C7B">
      <w:r>
        <w:t>In this contribution, we discuss some user place and DRB aspects related to the RRC_INACTIVE state.</w:t>
      </w:r>
    </w:p>
    <w:p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D05D54" w:rsidRPr="00D05D54">
        <w:t>Interaction with multi-connectivity</w:t>
      </w:r>
    </w:p>
    <w:p w:rsidR="00D05D54" w:rsidRDefault="00D05D54" w:rsidP="00D05D54">
      <w:pPr>
        <w:pStyle w:val="Heading2"/>
      </w:pPr>
      <w:r>
        <w:t>2.1</w:t>
      </w:r>
      <w:r w:rsidRPr="00D24779">
        <w:tab/>
      </w:r>
      <w:r>
        <w:t>Multi-connectivity in NR</w:t>
      </w:r>
    </w:p>
    <w:p w:rsidR="00D05D54" w:rsidRDefault="00D05D54" w:rsidP="00D05D54">
      <w:r>
        <w:t xml:space="preserve">In </w:t>
      </w:r>
      <w:r w:rsidR="00DA0C21">
        <w:t xml:space="preserve">NR, we assume that there will some kind of </w:t>
      </w:r>
      <w:bookmarkStart w:id="1" w:name="_GoBack"/>
      <w:bookmarkEnd w:id="1"/>
      <w:r>
        <w:t>Multi</w:t>
      </w:r>
      <w:r w:rsidR="00220256">
        <w:t>-</w:t>
      </w:r>
      <w:r>
        <w:t>connectivity</w:t>
      </w:r>
      <w:r w:rsidR="00DA0C21">
        <w:t xml:space="preserve"> feature</w:t>
      </w:r>
      <w:r>
        <w:t xml:space="preserve"> as agreed in RAN2#94 meeting </w:t>
      </w:r>
      <w:r>
        <w:fldChar w:fldCharType="begin"/>
      </w:r>
      <w:r>
        <w:instrText xml:space="preserve"> REF _Ref465428525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:rsidR="00D05D54" w:rsidRPr="00D24779" w:rsidRDefault="00D05D54" w:rsidP="00D05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D24779">
        <w:rPr>
          <w:rFonts w:ascii="Arial" w:eastAsia="MS Mincho" w:hAnsi="Arial"/>
          <w:szCs w:val="24"/>
          <w:lang w:eastAsia="en-GB"/>
        </w:rPr>
        <w:t>Agreements</w:t>
      </w:r>
    </w:p>
    <w:p w:rsidR="00D05D54" w:rsidRPr="00D24779" w:rsidRDefault="00D05D54" w:rsidP="00D05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D24779">
        <w:rPr>
          <w:rFonts w:ascii="Arial" w:eastAsia="MS Mincho" w:hAnsi="Arial"/>
          <w:szCs w:val="24"/>
          <w:lang w:eastAsia="en-GB"/>
        </w:rPr>
        <w:t>1</w:t>
      </w:r>
      <w:r w:rsidRPr="00D24779">
        <w:rPr>
          <w:rFonts w:ascii="Arial" w:eastAsia="MS Mincho" w:hAnsi="Arial"/>
          <w:szCs w:val="24"/>
          <w:lang w:eastAsia="en-GB"/>
        </w:rPr>
        <w:tab/>
        <w:t xml:space="preserve"> As in LTE, NR shall study lower layer aggregation (e.g. CA-like) and upper layer aggregation (e.g. DC-like) </w:t>
      </w:r>
    </w:p>
    <w:p w:rsidR="00D05D54" w:rsidRDefault="00D05D54" w:rsidP="00D05D54"/>
    <w:p w:rsidR="00D05D54" w:rsidRDefault="00D05D54" w:rsidP="00D05D54">
      <w:r>
        <w:t>In this document, we focus on the “DC-like” multi-connectivity.</w:t>
      </w:r>
      <w:r w:rsidR="00DA0C21">
        <w:t xml:space="preserve"> </w:t>
      </w:r>
      <w:r>
        <w:t xml:space="preserve">In this configuration, it is safe assume that UE in NR can be configured with three kind of DRB </w:t>
      </w:r>
      <w:r>
        <w:fldChar w:fldCharType="begin"/>
      </w:r>
      <w:r>
        <w:instrText xml:space="preserve"> REF _Ref465428531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:rsidR="00D05D54" w:rsidRDefault="00D05D54" w:rsidP="00D05D54">
      <w:pPr>
        <w:pStyle w:val="B1"/>
      </w:pPr>
      <w:r>
        <w:t>-</w:t>
      </w:r>
      <w:r>
        <w:tab/>
        <w:t>MCG Bearers</w:t>
      </w:r>
    </w:p>
    <w:p w:rsidR="00D05D54" w:rsidRDefault="00D05D54" w:rsidP="00D05D54">
      <w:pPr>
        <w:pStyle w:val="B1"/>
      </w:pPr>
      <w:r>
        <w:t>-</w:t>
      </w:r>
      <w:r>
        <w:tab/>
        <w:t>SCG Bearers</w:t>
      </w:r>
    </w:p>
    <w:p w:rsidR="00D05D54" w:rsidRDefault="00D05D54" w:rsidP="00D05D54">
      <w:pPr>
        <w:pStyle w:val="B1"/>
      </w:pPr>
      <w:r>
        <w:t>-</w:t>
      </w:r>
      <w:r>
        <w:tab/>
        <w:t>Split Bearers</w:t>
      </w:r>
    </w:p>
    <w:p w:rsidR="00D05D54" w:rsidRDefault="00D05D54" w:rsidP="00D05D54">
      <w:r>
        <w:t>With the possible additio</w:t>
      </w:r>
      <w:r w:rsidR="00837069">
        <w:t>n of “</w:t>
      </w:r>
      <w:r w:rsidR="008E5B18">
        <w:t>S</w:t>
      </w:r>
      <w:r w:rsidR="00837069">
        <w:t>CG split bearer</w:t>
      </w:r>
      <w:r w:rsidR="00B8196A">
        <w:t>”</w:t>
      </w:r>
      <w:r>
        <w:t>.</w:t>
      </w:r>
    </w:p>
    <w:p w:rsidR="00D05D54" w:rsidRDefault="00D05D54" w:rsidP="00D05D54">
      <w:r>
        <w:t>In the following section, we analyse the UE behaviour in RRC_INACTIVE, and its interaction with multi-connectivity.</w:t>
      </w:r>
    </w:p>
    <w:p w:rsidR="00D24779" w:rsidRPr="00D24779" w:rsidRDefault="00D05D54" w:rsidP="00D24779">
      <w:pPr>
        <w:pStyle w:val="Heading2"/>
      </w:pPr>
      <w:r>
        <w:t>2.1</w:t>
      </w:r>
      <w:r>
        <w:tab/>
        <w:t>Mobility in RRC_INACTIVE</w:t>
      </w:r>
    </w:p>
    <w:p w:rsidR="00D24779" w:rsidRDefault="00D24779" w:rsidP="00D05D54">
      <w:pPr>
        <w:tabs>
          <w:tab w:val="left" w:pos="5670"/>
        </w:tabs>
      </w:pPr>
      <w:r>
        <w:t xml:space="preserve">When in RRC_INACTIVE, </w:t>
      </w:r>
      <w:r w:rsidR="00D05D54">
        <w:t>it is assumed</w:t>
      </w:r>
      <w:r w:rsidR="00837069">
        <w:t>, that</w:t>
      </w:r>
      <w:r w:rsidR="00D05D54">
        <w:t xml:space="preserve"> for power saving reason</w:t>
      </w:r>
      <w:r w:rsidR="00837069">
        <w:t>s</w:t>
      </w:r>
      <w:r w:rsidR="00D05D54">
        <w:t xml:space="preserve">, </w:t>
      </w:r>
      <w:r>
        <w:t xml:space="preserve">the UE will perform Cell Selection or other Mobility scheme, but </w:t>
      </w:r>
      <w:r w:rsidR="00837069">
        <w:t xml:space="preserve">it </w:t>
      </w:r>
      <w:r>
        <w:t>will do it in one frequency at a time.</w:t>
      </w:r>
      <w:r w:rsidR="00D05D54">
        <w:t xml:space="preserve"> Indeed this power saving state should not mandate extra UE power consumption</w:t>
      </w:r>
    </w:p>
    <w:p w:rsidR="00D05D54" w:rsidRDefault="00D05D54" w:rsidP="00D05D54">
      <w:r>
        <w:rPr>
          <w:b/>
        </w:rPr>
        <w:t>Obs</w:t>
      </w:r>
      <w:r w:rsidR="002D062B">
        <w:rPr>
          <w:b/>
        </w:rPr>
        <w:t>ervation</w:t>
      </w:r>
      <w:r>
        <w:rPr>
          <w:b/>
        </w:rPr>
        <w:t xml:space="preserve"> 1: </w:t>
      </w:r>
      <w:r>
        <w:t xml:space="preserve">When UE is in RRC_INACTIVE, it will most probably not simultaneously “camp” on </w:t>
      </w:r>
      <w:r w:rsidR="00837069">
        <w:t>more than one</w:t>
      </w:r>
      <w:r w:rsidR="00DA0C21">
        <w:t xml:space="preserve"> frequency layer</w:t>
      </w:r>
      <w:r>
        <w:t>.</w:t>
      </w:r>
    </w:p>
    <w:p w:rsidR="00D05D54" w:rsidRDefault="00D05D54" w:rsidP="00D05D54">
      <w:pPr>
        <w:tabs>
          <w:tab w:val="left" w:pos="5670"/>
        </w:tabs>
      </w:pPr>
      <w:r>
        <w:t xml:space="preserve">When the UE comes back to RRC_CONNECTED state, it will do it using </w:t>
      </w:r>
      <w:r w:rsidR="00837069">
        <w:t xml:space="preserve">via the communication to </w:t>
      </w:r>
      <w:r>
        <w:t>a single cell at least for the first message exchange.</w:t>
      </w:r>
      <w:r w:rsidR="00837069">
        <w:t xml:space="preserve"> </w:t>
      </w:r>
    </w:p>
    <w:p w:rsidR="00D05D54" w:rsidRDefault="00D05D54" w:rsidP="00D24779">
      <w:r>
        <w:t xml:space="preserve">Even if the UE </w:t>
      </w:r>
      <w:r w:rsidR="00837069">
        <w:t xml:space="preserve">can </w:t>
      </w:r>
      <w:r>
        <w:t>monitor a second layer</w:t>
      </w:r>
      <w:r w:rsidR="00837069">
        <w:t xml:space="preserve"> during RRC_INACTIVE state</w:t>
      </w:r>
      <w:r>
        <w:t xml:space="preserve">, that would be used to establish a second connection (SCG), when the UE is reconfigured to RRC_CONNECTED, this would need some </w:t>
      </w:r>
      <w:r w:rsidR="00837069">
        <w:t>(re-)</w:t>
      </w:r>
      <w:r>
        <w:t xml:space="preserve">configuration </w:t>
      </w:r>
      <w:r w:rsidR="00837069">
        <w:t xml:space="preserve">on network side because the secondary PCell cell </w:t>
      </w:r>
      <w:r>
        <w:t>may have changed</w:t>
      </w:r>
      <w:r w:rsidR="00837069">
        <w:t xml:space="preserve"> during the time UE is in RRC_INACTIVE</w:t>
      </w:r>
      <w:r>
        <w:t>.</w:t>
      </w:r>
    </w:p>
    <w:p w:rsidR="00D05D54" w:rsidRPr="00000ED1" w:rsidRDefault="00D05D54" w:rsidP="00D05D54">
      <w:r>
        <w:rPr>
          <w:b/>
        </w:rPr>
        <w:lastRenderedPageBreak/>
        <w:t>Obs</w:t>
      </w:r>
      <w:r w:rsidR="002D062B">
        <w:rPr>
          <w:b/>
        </w:rPr>
        <w:t>ervation</w:t>
      </w:r>
      <w:r>
        <w:rPr>
          <w:b/>
        </w:rPr>
        <w:t xml:space="preserve"> 2: </w:t>
      </w:r>
      <w:r>
        <w:t xml:space="preserve">When UE is </w:t>
      </w:r>
      <w:r w:rsidR="00837069">
        <w:t>reconfigured</w:t>
      </w:r>
      <w:r>
        <w:t xml:space="preserve"> from RRC_INACTIVE to RRC_CONNECTED state, it wil</w:t>
      </w:r>
      <w:r w:rsidR="00837069">
        <w:t>l probably be connected to one cell only for the first message exchange.</w:t>
      </w:r>
    </w:p>
    <w:p w:rsidR="00D24779" w:rsidRDefault="00D05D54" w:rsidP="00CD4C7B">
      <w:r>
        <w:t>According to the analysis ab</w:t>
      </w:r>
      <w:r w:rsidR="00837069">
        <w:t>ove, the UE will not use Multi-C</w:t>
      </w:r>
      <w:r>
        <w:t xml:space="preserve">onnectivity </w:t>
      </w:r>
      <w:r w:rsidR="00D21B39">
        <w:t xml:space="preserve">during </w:t>
      </w:r>
      <w:r>
        <w:t>at the moment of its reconfiguration to RRC_CON</w:t>
      </w:r>
      <w:r w:rsidR="00837069">
        <w:t>NECTED. It could be configured again at</w:t>
      </w:r>
      <w:r w:rsidR="00D21B39">
        <w:t xml:space="preserve"> a later stage but will require the configuration of the secondary Link in “SgNB”.</w:t>
      </w:r>
    </w:p>
    <w:p w:rsidR="00D21B39" w:rsidRDefault="00D21B39" w:rsidP="00CD4C7B">
      <w:r>
        <w:t>As a</w:t>
      </w:r>
      <w:r w:rsidR="00837069">
        <w:t xml:space="preserve"> consequence,</w:t>
      </w:r>
      <w:r>
        <w:t xml:space="preserve"> when moved to RRC_INACTIVE </w:t>
      </w:r>
      <w:r w:rsidR="00837069">
        <w:t>UE should</w:t>
      </w:r>
      <w:r>
        <w:t xml:space="preserve"> be </w:t>
      </w:r>
      <w:r w:rsidR="00837069">
        <w:t>de-configured from</w:t>
      </w:r>
      <w:r>
        <w:t xml:space="preserve"> Multi-connectivity. </w:t>
      </w:r>
      <w:r w:rsidR="00DA0C21">
        <w:t xml:space="preserve">This mean that the split and SCG bearer would need to be reconfigured to MCG bearer. This could take some time and delay the reconfiguration of UE to RRC_INACTIVE. Furthermore, the merging of the two procedures (transition to RRC_INACTIVE and reconfiguration of split/SCG bearers) would introduce more complexity in the specifications. </w:t>
      </w:r>
      <w:r>
        <w:t xml:space="preserve">For the sake of simplicity, we propose to decouple those </w:t>
      </w:r>
      <w:r w:rsidR="00837069">
        <w:t>issues and assume that UE is not</w:t>
      </w:r>
      <w:r>
        <w:t xml:space="preserve"> configured with multi-connectivity when </w:t>
      </w:r>
      <w:r w:rsidR="00837069">
        <w:t>send</w:t>
      </w:r>
      <w:r>
        <w:t xml:space="preserve"> to RRC_INACTIVE.</w:t>
      </w:r>
      <w:r w:rsidR="00DA0C21">
        <w:t xml:space="preserve"> It would be up to the network to prepare the UE for the state transition.</w:t>
      </w:r>
    </w:p>
    <w:p w:rsidR="00521FB8" w:rsidRDefault="00521FB8" w:rsidP="00CD4C7B">
      <w:r w:rsidRPr="00630FCA">
        <w:rPr>
          <w:b/>
        </w:rPr>
        <w:t>Proposal 1</w:t>
      </w:r>
      <w:r w:rsidR="00DA0C21">
        <w:t>: I</w:t>
      </w:r>
      <w:r>
        <w:t>n the first version of the speci</w:t>
      </w:r>
      <w:r w:rsidR="00D21B39">
        <w:t>fication, UE should not be configured with multi</w:t>
      </w:r>
      <w:r w:rsidR="00837069">
        <w:t>-connectivity when sent to RRC_INACTIVE.</w:t>
      </w:r>
    </w:p>
    <w:p w:rsidR="00CD4C7B" w:rsidRPr="006E13D1" w:rsidRDefault="00CD4C7B" w:rsidP="001B49C9"/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30FCA">
        <w:t xml:space="preserve">Buffer </w:t>
      </w:r>
    </w:p>
    <w:p w:rsidR="00D21B39" w:rsidRDefault="00D21B39" w:rsidP="00CD4C7B">
      <w:r>
        <w:t xml:space="preserve">The second aspect that is discussed </w:t>
      </w:r>
      <w:r w:rsidR="002D062B">
        <w:t xml:space="preserve">in this contribution </w:t>
      </w:r>
      <w:r>
        <w:t>is the state of the Layer 2 buffers, when UE is sent to RRC_INACTIVE.</w:t>
      </w:r>
    </w:p>
    <w:p w:rsidR="00D21B39" w:rsidRDefault="00D21B39" w:rsidP="00CD4C7B">
      <w:r>
        <w:t xml:space="preserve">As a first assumption, UE will not communicate </w:t>
      </w:r>
      <w:r w:rsidR="007822C4">
        <w:t xml:space="preserve">with the network during RRC_INACTIVE state. In this case if some data is </w:t>
      </w:r>
      <w:r w:rsidR="002D062B">
        <w:t xml:space="preserve">present </w:t>
      </w:r>
      <w:r w:rsidR="007822C4">
        <w:t>in the buffer of the UE, it will request a transition back to RRC_CONNECTED</w:t>
      </w:r>
      <w:r w:rsidR="002D062B">
        <w:t xml:space="preserve"> to send the data</w:t>
      </w:r>
      <w:r w:rsidR="007822C4">
        <w:t>.</w:t>
      </w:r>
      <w:r w:rsidR="009A329E">
        <w:t xml:space="preserve"> Thus, it does not make sense to send the UE in RRC_INACTIVE when its buffer are not empty.</w:t>
      </w:r>
    </w:p>
    <w:p w:rsidR="009A329E" w:rsidRDefault="009A329E" w:rsidP="00CD4C7B">
      <w:r>
        <w:t>But it could be possible that UE</w:t>
      </w:r>
      <w:r w:rsidR="002D062B">
        <w:t xml:space="preserve"> is capable of</w:t>
      </w:r>
      <w:r>
        <w:t xml:space="preserve"> send</w:t>
      </w:r>
      <w:r w:rsidR="002D062B">
        <w:t>ing</w:t>
      </w:r>
      <w:r>
        <w:t xml:space="preserve"> a</w:t>
      </w:r>
      <w:r w:rsidR="002D062B">
        <w:t>nd receiving</w:t>
      </w:r>
      <w:r>
        <w:t xml:space="preserve"> data in RRC_INACTIVE (in a similar way to CELL_FACH in UMTS for example). In this case, UE could still transmit data, but most probably, the efficiency will be lower than in RRC_CONNECTED and only small amount could be transferred. Consequently, if the UE buffer contains a large amount of data, it would be not wise to transfer it to RRC_INACTIVE.</w:t>
      </w:r>
    </w:p>
    <w:p w:rsidR="00630FCA" w:rsidRDefault="00630FCA" w:rsidP="00CD4C7B">
      <w:r w:rsidRPr="009A329E">
        <w:rPr>
          <w:b/>
        </w:rPr>
        <w:t>Obs</w:t>
      </w:r>
      <w:r w:rsidR="009A329E" w:rsidRPr="009A329E">
        <w:rPr>
          <w:b/>
        </w:rPr>
        <w:t>ervation 3:</w:t>
      </w:r>
      <w:r w:rsidR="009A329E">
        <w:t xml:space="preserve"> </w:t>
      </w:r>
      <w:r w:rsidR="00D5509A" w:rsidRPr="00D5509A">
        <w:t xml:space="preserve">It is not wise to send UE to RRC_INACTIVE if UE has data in </w:t>
      </w:r>
      <w:r w:rsidR="00D5509A">
        <w:t>its PDCP buffer.</w:t>
      </w:r>
    </w:p>
    <w:p w:rsidR="00630FCA" w:rsidRDefault="00630FCA" w:rsidP="00CD4C7B"/>
    <w:p w:rsidR="00000ED1" w:rsidRDefault="00CD4C7B" w:rsidP="00CD4C7B">
      <w:pPr>
        <w:pStyle w:val="Heading1"/>
      </w:pPr>
      <w:r w:rsidRPr="006E13D1">
        <w:t>4</w:t>
      </w:r>
      <w:r w:rsidRPr="006E13D1">
        <w:tab/>
      </w:r>
      <w:r w:rsidR="00000ED1">
        <w:t>Conclusion</w:t>
      </w:r>
    </w:p>
    <w:p w:rsidR="008E5B18" w:rsidRDefault="008E5B18" w:rsidP="008E5B18">
      <w:pPr>
        <w:rPr>
          <w:lang w:val="en-US"/>
        </w:rPr>
      </w:pPr>
      <w:r w:rsidRPr="00AC65B7">
        <w:rPr>
          <w:lang w:val="en-US"/>
        </w:rPr>
        <w:t xml:space="preserve">In this contribution, we have </w:t>
      </w:r>
      <w:r>
        <w:rPr>
          <w:lang w:val="en-US"/>
        </w:rPr>
        <w:t>discusses some UP aspects of RRC_INACTIVE state and we have maded the following proposals and observations:</w:t>
      </w:r>
    </w:p>
    <w:p w:rsidR="008E5B18" w:rsidRDefault="008E5B18" w:rsidP="008E5B18">
      <w:r>
        <w:rPr>
          <w:b/>
        </w:rPr>
        <w:t xml:space="preserve">Observation 1: </w:t>
      </w:r>
      <w:r>
        <w:t>When UE is in RRC_INACTIVE, it will most probably not simultaneously “camp” on more than one frequency layer.</w:t>
      </w:r>
    </w:p>
    <w:p w:rsidR="008E5B18" w:rsidRPr="00000ED1" w:rsidRDefault="008E5B18" w:rsidP="008E5B18">
      <w:r>
        <w:rPr>
          <w:b/>
        </w:rPr>
        <w:t xml:space="preserve">Observation 2: </w:t>
      </w:r>
      <w:r>
        <w:t>When UE is reconfigured from RRC_INACTIVE to RRC_CONNECTED state, it will probably be connected to one cell only for the first message exchange.</w:t>
      </w:r>
    </w:p>
    <w:p w:rsidR="008E5B18" w:rsidRDefault="008E5B18" w:rsidP="008E5B18">
      <w:r w:rsidRPr="00630FCA">
        <w:rPr>
          <w:b/>
        </w:rPr>
        <w:t>Proposal 1</w:t>
      </w:r>
      <w:r>
        <w:t>: In the first version of the specification, UE should not be configured with multi-connectivity when sent to RRC_INACTIVE.</w:t>
      </w:r>
    </w:p>
    <w:p w:rsidR="00D5509A" w:rsidRDefault="00D5509A" w:rsidP="00D5509A">
      <w:r w:rsidRPr="009A329E">
        <w:rPr>
          <w:b/>
        </w:rPr>
        <w:t>Observation 3:</w:t>
      </w:r>
      <w:r>
        <w:t xml:space="preserve"> </w:t>
      </w:r>
      <w:r w:rsidRPr="00D5509A">
        <w:t xml:space="preserve">It is not wise to send UE to RRC_INACTIVE if UE has data in </w:t>
      </w:r>
      <w:r>
        <w:t>its PDCP buffer.</w:t>
      </w:r>
    </w:p>
    <w:p w:rsidR="008E5B18" w:rsidRDefault="008E5B18" w:rsidP="008E5B18">
      <w:pPr>
        <w:rPr>
          <w:lang w:val="en-US"/>
        </w:rPr>
      </w:pPr>
    </w:p>
    <w:p w:rsidR="00CD4C7B" w:rsidRPr="006E13D1" w:rsidRDefault="00CD4C7B" w:rsidP="00CD4C7B"/>
    <w:p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465433207"/>
    <w:bookmarkStart w:id="3" w:name="_Ref465428525"/>
    <w:bookmarkStart w:id="4" w:name="_Ref75086397"/>
    <w:p w:rsidR="001873C7" w:rsidRDefault="001873C7" w:rsidP="001873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"http://www.3gpp.org/ftp/tsg_ran/WG2_RL2/TSGR2_95bis/Report/R2-16xxxx_draft_report_RAN2_95bis_Kaohsiung_v0.1.zip" </w:instrText>
      </w:r>
      <w:r>
        <w:fldChar w:fldCharType="separate"/>
      </w:r>
      <w:r w:rsidRPr="001873C7">
        <w:rPr>
          <w:rStyle w:val="Hyperlink"/>
        </w:rPr>
        <w:t>Draft Report of RAN2#95bis meeting</w:t>
      </w:r>
      <w:bookmarkEnd w:id="2"/>
      <w:r>
        <w:fldChar w:fldCharType="end"/>
      </w:r>
    </w:p>
    <w:p w:rsidR="00D24779" w:rsidRDefault="00793FF3" w:rsidP="00D247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8" w:history="1">
        <w:r w:rsidR="00D24779" w:rsidRPr="00D24779">
          <w:rPr>
            <w:rStyle w:val="Hyperlink"/>
          </w:rPr>
          <w:t>R2-164670</w:t>
        </w:r>
      </w:hyperlink>
      <w:r w:rsidR="00D24779">
        <w:t>, Report of RAN2#94 meeting</w:t>
      </w:r>
      <w:bookmarkEnd w:id="3"/>
    </w:p>
    <w:bookmarkStart w:id="5" w:name="_Ref465428531"/>
    <w:p w:rsidR="00D33604" w:rsidRPr="00D33604" w:rsidRDefault="009A329E" w:rsidP="00D3360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fldChar w:fldCharType="begin"/>
      </w:r>
      <w:r>
        <w:instrText xml:space="preserve"> HYPERLINK "http://3gpp.org/ftp/tsg_ran/WG2_RL2/TSGR2_95bis/Docs/R2-166157.zip" </w:instrText>
      </w:r>
      <w:r>
        <w:fldChar w:fldCharType="separate"/>
      </w:r>
      <w:r w:rsidR="00D33604" w:rsidRPr="009A329E">
        <w:rPr>
          <w:rStyle w:val="Hyperlink"/>
        </w:rPr>
        <w:t>R2-167046</w:t>
      </w:r>
      <w:r>
        <w:fldChar w:fldCharType="end"/>
      </w:r>
      <w:r w:rsidR="00D33604">
        <w:t xml:space="preserve">, </w:t>
      </w:r>
      <w:r w:rsidR="00D33604" w:rsidRPr="00D24779">
        <w:rPr>
          <w:i/>
        </w:rPr>
        <w:t>Upper layer aggregation for NR-NR multi-connectivity</w:t>
      </w:r>
      <w:r w:rsidR="00D33604">
        <w:t>, Nokia, Alcatel-Lucent Shanghai Bell</w:t>
      </w:r>
      <w:bookmarkEnd w:id="5"/>
    </w:p>
    <w:bookmarkEnd w:id="4"/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FF3" w:rsidRDefault="00793FF3">
      <w:r>
        <w:separator/>
      </w:r>
    </w:p>
  </w:endnote>
  <w:endnote w:type="continuationSeparator" w:id="0">
    <w:p w:rsidR="00793FF3" w:rsidRDefault="0079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FF3" w:rsidRDefault="00793FF3">
      <w:r>
        <w:separator/>
      </w:r>
    </w:p>
  </w:footnote>
  <w:footnote w:type="continuationSeparator" w:id="0">
    <w:p w:rsidR="00793FF3" w:rsidRDefault="00793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9D5D7D"/>
    <w:multiLevelType w:val="hybridMultilevel"/>
    <w:tmpl w:val="BC28C3AA"/>
    <w:lvl w:ilvl="0" w:tplc="182CB0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C9979BC"/>
    <w:multiLevelType w:val="hybridMultilevel"/>
    <w:tmpl w:val="AF46B282"/>
    <w:lvl w:ilvl="0" w:tplc="B3BA53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84211"/>
    <w:multiLevelType w:val="hybridMultilevel"/>
    <w:tmpl w:val="4F8ACF24"/>
    <w:lvl w:ilvl="0" w:tplc="4D9811E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D1"/>
    <w:rsid w:val="00033397"/>
    <w:rsid w:val="00040095"/>
    <w:rsid w:val="00080512"/>
    <w:rsid w:val="00090468"/>
    <w:rsid w:val="000B7BCF"/>
    <w:rsid w:val="000C522B"/>
    <w:rsid w:val="000D58AB"/>
    <w:rsid w:val="001741A0"/>
    <w:rsid w:val="001873C7"/>
    <w:rsid w:val="00194CD0"/>
    <w:rsid w:val="001B49C9"/>
    <w:rsid w:val="001F168B"/>
    <w:rsid w:val="001F7831"/>
    <w:rsid w:val="00204045"/>
    <w:rsid w:val="00220256"/>
    <w:rsid w:val="0022606D"/>
    <w:rsid w:val="002747EC"/>
    <w:rsid w:val="002855BF"/>
    <w:rsid w:val="002A0720"/>
    <w:rsid w:val="002C3EFA"/>
    <w:rsid w:val="002D062B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21FB8"/>
    <w:rsid w:val="00534DA0"/>
    <w:rsid w:val="00543E6C"/>
    <w:rsid w:val="00565087"/>
    <w:rsid w:val="0056573F"/>
    <w:rsid w:val="00611566"/>
    <w:rsid w:val="006165AE"/>
    <w:rsid w:val="00630FCA"/>
    <w:rsid w:val="00646D99"/>
    <w:rsid w:val="00656910"/>
    <w:rsid w:val="006C66D8"/>
    <w:rsid w:val="006D1E24"/>
    <w:rsid w:val="006E1417"/>
    <w:rsid w:val="006F6A2C"/>
    <w:rsid w:val="00734A5B"/>
    <w:rsid w:val="00744E76"/>
    <w:rsid w:val="00757D40"/>
    <w:rsid w:val="00781F0F"/>
    <w:rsid w:val="007822C4"/>
    <w:rsid w:val="00786BE8"/>
    <w:rsid w:val="0078727C"/>
    <w:rsid w:val="0079049D"/>
    <w:rsid w:val="00793FF3"/>
    <w:rsid w:val="007B18D8"/>
    <w:rsid w:val="007C095F"/>
    <w:rsid w:val="008028A4"/>
    <w:rsid w:val="00825325"/>
    <w:rsid w:val="00837069"/>
    <w:rsid w:val="008768CA"/>
    <w:rsid w:val="00880559"/>
    <w:rsid w:val="008E5B18"/>
    <w:rsid w:val="0090271F"/>
    <w:rsid w:val="00942EC2"/>
    <w:rsid w:val="00961B32"/>
    <w:rsid w:val="00974BB0"/>
    <w:rsid w:val="009A0AF3"/>
    <w:rsid w:val="009A329E"/>
    <w:rsid w:val="009B07CD"/>
    <w:rsid w:val="009C19E9"/>
    <w:rsid w:val="00A10F02"/>
    <w:rsid w:val="00A53724"/>
    <w:rsid w:val="00A82346"/>
    <w:rsid w:val="00A9671C"/>
    <w:rsid w:val="00B045DC"/>
    <w:rsid w:val="00B15449"/>
    <w:rsid w:val="00B47FD1"/>
    <w:rsid w:val="00B8196A"/>
    <w:rsid w:val="00B81D29"/>
    <w:rsid w:val="00C12B51"/>
    <w:rsid w:val="00C24650"/>
    <w:rsid w:val="00C33079"/>
    <w:rsid w:val="00C83A13"/>
    <w:rsid w:val="00CA3D0C"/>
    <w:rsid w:val="00CA654B"/>
    <w:rsid w:val="00CC6822"/>
    <w:rsid w:val="00CD4C7B"/>
    <w:rsid w:val="00D05D54"/>
    <w:rsid w:val="00D21B39"/>
    <w:rsid w:val="00D24779"/>
    <w:rsid w:val="00D33604"/>
    <w:rsid w:val="00D5509A"/>
    <w:rsid w:val="00D738D6"/>
    <w:rsid w:val="00D80795"/>
    <w:rsid w:val="00D87E00"/>
    <w:rsid w:val="00D9134D"/>
    <w:rsid w:val="00D96D11"/>
    <w:rsid w:val="00DA0C21"/>
    <w:rsid w:val="00DA7A03"/>
    <w:rsid w:val="00DB1818"/>
    <w:rsid w:val="00DC309B"/>
    <w:rsid w:val="00DC4DA2"/>
    <w:rsid w:val="00E43286"/>
    <w:rsid w:val="00E62835"/>
    <w:rsid w:val="00E77645"/>
    <w:rsid w:val="00E83697"/>
    <w:rsid w:val="00EC4A25"/>
    <w:rsid w:val="00EC75D0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C75D0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D33604"/>
    <w:pPr>
      <w:tabs>
        <w:tab w:val="left" w:pos="1622"/>
      </w:tabs>
      <w:spacing w:after="0"/>
      <w:ind w:left="1622" w:hanging="363"/>
    </w:pPr>
    <w:rPr>
      <w:rFonts w:ascii="Batang" w:eastAsia="Wingdings" w:hAnsi="Batang" w:cs="PMingLiU"/>
      <w:szCs w:val="24"/>
      <w:lang w:eastAsia="en-GB"/>
    </w:rPr>
  </w:style>
  <w:style w:type="character" w:customStyle="1" w:styleId="Doc-text2Char">
    <w:name w:val="Doc-text2 Char"/>
    <w:link w:val="Doc-text2"/>
    <w:rsid w:val="00D33604"/>
    <w:rPr>
      <w:rFonts w:ascii="Batang" w:eastAsia="Wingdings" w:hAnsi="Batang" w:cs="PMingLiU"/>
      <w:szCs w:val="24"/>
    </w:rPr>
  </w:style>
  <w:style w:type="character" w:styleId="FollowedHyperlink">
    <w:name w:val="FollowedHyperlink"/>
    <w:basedOn w:val="DefaultParagraphFont"/>
    <w:rsid w:val="001873C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2202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02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4/Report/R2-16467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74C2A-B430-412B-AC49-C99C70A3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5445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Koskela, Jarkko T. (Nokia - FI/Oulu)</dc:creator>
  <cp:lastModifiedBy>NOKIA</cp:lastModifiedBy>
  <cp:revision>2</cp:revision>
  <dcterms:created xsi:type="dcterms:W3CDTF">2016-11-03T14:57:00Z</dcterms:created>
  <dcterms:modified xsi:type="dcterms:W3CDTF">2016-11-03T14:57:00Z</dcterms:modified>
</cp:coreProperties>
</file>